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A" w:rsidRDefault="000823FA" w:rsidP="00D54C8C">
      <w:pPr>
        <w:pStyle w:val="Standard"/>
        <w:rPr>
          <w:rFonts w:cs="Times New Roman"/>
          <w:b/>
          <w:bCs/>
        </w:rPr>
      </w:pPr>
    </w:p>
    <w:p w:rsidR="00EC38AD" w:rsidRDefault="00EC38AD" w:rsidP="00AA026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365B9" w:rsidRDefault="001365B9" w:rsidP="001365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EMAPAPC-EP</w:t>
      </w:r>
    </w:p>
    <w:p w:rsidR="001365B9" w:rsidRPr="00991C16" w:rsidRDefault="001365B9" w:rsidP="001365B9">
      <w:pPr>
        <w:jc w:val="center"/>
        <w:rPr>
          <w:b/>
          <w:sz w:val="44"/>
          <w:szCs w:val="44"/>
        </w:rPr>
      </w:pPr>
    </w:p>
    <w:p w:rsidR="001365B9" w:rsidRPr="001365B9" w:rsidRDefault="001365B9" w:rsidP="001365B9">
      <w:pPr>
        <w:jc w:val="center"/>
        <w:rPr>
          <w:b/>
          <w:sz w:val="32"/>
          <w:szCs w:val="32"/>
        </w:rPr>
      </w:pPr>
      <w:r w:rsidRPr="00991C16">
        <w:rPr>
          <w:b/>
          <w:sz w:val="32"/>
          <w:szCs w:val="32"/>
        </w:rPr>
        <w:t>Propuesta de Trabajo para la Rendición de Cuentas 2014</w:t>
      </w:r>
    </w:p>
    <w:p w:rsidR="001365B9" w:rsidRDefault="001365B9" w:rsidP="001365B9">
      <w:pPr>
        <w:rPr>
          <w:b/>
        </w:rPr>
      </w:pPr>
    </w:p>
    <w:p w:rsidR="001365B9" w:rsidRDefault="001365B9" w:rsidP="001365B9">
      <w:pPr>
        <w:rPr>
          <w:rFonts w:cs="Times New Roman"/>
          <w:b/>
          <w:bCs/>
          <w:sz w:val="28"/>
          <w:szCs w:val="28"/>
        </w:rPr>
      </w:pPr>
      <w:r w:rsidRPr="00D12726">
        <w:rPr>
          <w:rFonts w:cs="Times New Roman"/>
          <w:b/>
          <w:bCs/>
          <w:sz w:val="28"/>
          <w:szCs w:val="28"/>
        </w:rPr>
        <w:t>Introducción</w:t>
      </w:r>
    </w:p>
    <w:p w:rsidR="001365B9" w:rsidRPr="00D12726" w:rsidRDefault="001365B9" w:rsidP="001365B9">
      <w:pPr>
        <w:rPr>
          <w:rFonts w:cs="Times New Roman"/>
          <w:b/>
          <w:bCs/>
          <w:sz w:val="28"/>
          <w:szCs w:val="28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 xml:space="preserve">La </w:t>
      </w:r>
      <w:r w:rsidRPr="006C3049">
        <w:rPr>
          <w:rFonts w:cs="Times New Roman"/>
          <w:bCs/>
        </w:rPr>
        <w:t xml:space="preserve">EMAPAPC-EP,  </w:t>
      </w:r>
      <w:r w:rsidRPr="006C3049">
        <w:rPr>
          <w:rFonts w:cs="Times New Roman"/>
          <w:color w:val="auto"/>
        </w:rPr>
        <w:t xml:space="preserve">con el propósito de dar cumplimiento </w:t>
      </w:r>
      <w:r w:rsidRPr="006C3049">
        <w:rPr>
          <w:rFonts w:cs="Times New Roman"/>
          <w:bCs/>
        </w:rPr>
        <w:t xml:space="preserve">a lo que establece  el  art. 208 #2 de la Constitución,  en concordancia con el art. 90 de la Ley Orgánica de Participación Ciudadana y el art. 11 de la Ley Orgánica del Consejo  de Participación Ciudadana y Control Social </w:t>
      </w:r>
      <w:r w:rsidRPr="006C3049">
        <w:rPr>
          <w:rFonts w:cs="Times New Roman"/>
          <w:color w:val="auto"/>
        </w:rPr>
        <w:t xml:space="preserve"> van a realizar  por  primera vez  el proceso de rendición de cuentas; para lo cual se tiene previsto realizar el Informe de Rendición de Cuentas correspondiente al año 2014. 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 xml:space="preserve">La rendición de cuentas es un proceso mediante el cual quienes forman parte de la gestión pública cumplen con su responsabilidad de explicar y dar a conocer a la ciudadanía sobre el manejo de lo actuado, así como, sus logros y resultados alcanzados. 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>Con estos antecedentes, el presente documento Propuesta para la Rendición de Cuentas EMAPAPC-EP, ha sido desarrollado a fin de detallar el proceso de elaboración y consolidación de la información para el Informe correspondiente al año 2014.</w:t>
      </w:r>
    </w:p>
    <w:p w:rsidR="00AA0FF0" w:rsidRPr="006C3049" w:rsidRDefault="00AA0FF0" w:rsidP="001365B9">
      <w:pPr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  <w:b/>
          <w:bCs/>
        </w:rPr>
        <w:t>Objetivo General</w:t>
      </w:r>
      <w:r w:rsidRPr="006C3049">
        <w:rPr>
          <w:rFonts w:ascii="Calibri" w:hAnsi="Calibri" w:cs="Times New Roman"/>
        </w:rPr>
        <w:t xml:space="preserve"> </w:t>
      </w:r>
    </w:p>
    <w:p w:rsidR="00AA0FF0" w:rsidRPr="006C3049" w:rsidRDefault="00AA0FF0" w:rsidP="001365B9">
      <w:pPr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>Elaborar el Informe de Rendición de Cuentas 2014  de la Empresa Municipal de Agua Potable y Alcantarillado de Pedro Carbo- Empresa Pública.</w:t>
      </w:r>
    </w:p>
    <w:p w:rsidR="00AA0FF0" w:rsidRPr="006C3049" w:rsidRDefault="00AA0FF0" w:rsidP="001365B9">
      <w:pPr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tabs>
          <w:tab w:val="left" w:pos="2680"/>
        </w:tabs>
        <w:jc w:val="both"/>
        <w:rPr>
          <w:rFonts w:ascii="Calibri" w:hAnsi="Calibri" w:cs="Times New Roman"/>
          <w:b/>
          <w:bCs/>
        </w:rPr>
      </w:pPr>
      <w:r w:rsidRPr="006C3049">
        <w:rPr>
          <w:rFonts w:ascii="Calibri" w:hAnsi="Calibri" w:cs="Times New Roman"/>
          <w:b/>
          <w:bCs/>
        </w:rPr>
        <w:t>Metodología</w:t>
      </w:r>
      <w:r w:rsidRPr="006C3049">
        <w:rPr>
          <w:rFonts w:ascii="Calibri" w:hAnsi="Calibri" w:cs="Times New Roman"/>
          <w:b/>
          <w:bCs/>
        </w:rPr>
        <w:tab/>
      </w:r>
    </w:p>
    <w:p w:rsidR="00AA0FF0" w:rsidRPr="001044FF" w:rsidRDefault="00AA0FF0" w:rsidP="001365B9">
      <w:pPr>
        <w:jc w:val="both"/>
        <w:rPr>
          <w:rFonts w:ascii="Calibri" w:hAnsi="Calibri" w:cs="Times New Roman"/>
          <w:sz w:val="22"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>La Gerencia General, la Coordinación  Administrativa Financiera junto con Coordinación de Sistemas y Redes Informáticas coordinarán el proceso de Rendición de Cuentas.</w:t>
      </w:r>
    </w:p>
    <w:p w:rsidR="00AA0FF0" w:rsidRPr="006C3049" w:rsidRDefault="00AA0FF0" w:rsidP="001365B9">
      <w:pPr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  <w:b/>
          <w:bCs/>
        </w:rPr>
      </w:pPr>
      <w:r w:rsidRPr="006C3049">
        <w:rPr>
          <w:rFonts w:ascii="Calibri" w:hAnsi="Calibri" w:cs="Times New Roman"/>
          <w:b/>
          <w:bCs/>
        </w:rPr>
        <w:t>Implementación de las Fases de Preparación</w:t>
      </w:r>
    </w:p>
    <w:p w:rsidR="00AA0FF0" w:rsidRPr="006C3049" w:rsidRDefault="00AA0FF0" w:rsidP="001365B9">
      <w:pPr>
        <w:jc w:val="both"/>
        <w:rPr>
          <w:rFonts w:ascii="Calibri" w:hAnsi="Calibri" w:cs="Times New Roman"/>
          <w:b/>
          <w:bCs/>
        </w:rPr>
      </w:pPr>
    </w:p>
    <w:p w:rsidR="001365B9" w:rsidRPr="006C3049" w:rsidRDefault="001365B9" w:rsidP="001365B9">
      <w:pPr>
        <w:pStyle w:val="Default"/>
        <w:jc w:val="both"/>
        <w:rPr>
          <w:color w:val="auto"/>
        </w:rPr>
      </w:pPr>
      <w:r w:rsidRPr="006C3049">
        <w:rPr>
          <w:rFonts w:cs="Times New Roman"/>
          <w:color w:val="auto"/>
        </w:rPr>
        <w:t xml:space="preserve">La Secretaría Nacional de la Administración Pública a través de la Secretaría Técnica de Transparencia, publicó el Instructivo de aplicación complementaria a la Guía especializada de Rendición de Cuentas para las Instituciones y Entidades de la Función Ejecutiva emitida por el Consejo de Participación Ciudadana y Control Social (CPCCS) para garantizar la efectiva participación ciudadana (2014), en el cual se detallan los lineamientos para la realización de la Rendición de Cuentas como un </w:t>
      </w:r>
      <w:r w:rsidRPr="006C3049">
        <w:rPr>
          <w:i/>
          <w:iCs/>
          <w:color w:val="auto"/>
        </w:rPr>
        <w:t xml:space="preserve">“proceso sistemático deliberativo, interactivo y universal sometido a la evaluación ciudadana” </w:t>
      </w:r>
      <w:r w:rsidRPr="006C3049">
        <w:rPr>
          <w:color w:val="auto"/>
        </w:rPr>
        <w:t xml:space="preserve">(CPCCS, 2014:14). </w:t>
      </w:r>
    </w:p>
    <w:p w:rsidR="001365B9" w:rsidRPr="006C3049" w:rsidRDefault="001365B9" w:rsidP="001365B9">
      <w:pPr>
        <w:pStyle w:val="Default"/>
        <w:jc w:val="both"/>
        <w:rPr>
          <w:color w:val="auto"/>
        </w:rPr>
      </w:pPr>
    </w:p>
    <w:p w:rsidR="00AA0FF0" w:rsidRPr="006C3049" w:rsidRDefault="00AA0FF0" w:rsidP="001365B9">
      <w:pPr>
        <w:jc w:val="both"/>
        <w:rPr>
          <w:rFonts w:ascii="Calibri" w:hAnsi="Calibri"/>
        </w:rPr>
      </w:pPr>
    </w:p>
    <w:p w:rsidR="00AA0FF0" w:rsidRPr="006C3049" w:rsidRDefault="00AA0FF0" w:rsidP="001365B9">
      <w:pPr>
        <w:jc w:val="both"/>
        <w:rPr>
          <w:rFonts w:ascii="Calibri" w:hAnsi="Calibri"/>
        </w:rPr>
      </w:pPr>
    </w:p>
    <w:p w:rsidR="00AA0FF0" w:rsidRPr="006C3049" w:rsidRDefault="00AA0FF0" w:rsidP="001365B9">
      <w:pPr>
        <w:jc w:val="both"/>
        <w:rPr>
          <w:rFonts w:ascii="Calibri" w:hAnsi="Calibri"/>
        </w:rPr>
      </w:pPr>
    </w:p>
    <w:p w:rsidR="001365B9" w:rsidRPr="006C3049" w:rsidRDefault="001365B9" w:rsidP="001365B9">
      <w:pPr>
        <w:jc w:val="both"/>
        <w:rPr>
          <w:rFonts w:ascii="Calibri" w:hAnsi="Calibri"/>
        </w:rPr>
      </w:pPr>
      <w:r w:rsidRPr="006C3049">
        <w:rPr>
          <w:rFonts w:ascii="Calibri" w:hAnsi="Calibri"/>
        </w:rPr>
        <w:t>Dentro del proceso de rendición de cuentas, las entidades públicas están obligadas a cumplir las siguientes fases:</w:t>
      </w:r>
    </w:p>
    <w:p w:rsidR="001365B9" w:rsidRPr="006C3049" w:rsidRDefault="001365B9" w:rsidP="001365B9">
      <w:pPr>
        <w:jc w:val="both"/>
        <w:rPr>
          <w:rFonts w:ascii="Calibri" w:hAnsi="Calibri" w:cs="Times New Roman"/>
          <w:b/>
          <w:bCs/>
          <w:i/>
          <w:iCs/>
        </w:rPr>
      </w:pPr>
    </w:p>
    <w:p w:rsidR="001365B9" w:rsidRPr="006C3049" w:rsidRDefault="001365B9" w:rsidP="001365B9">
      <w:pPr>
        <w:jc w:val="both"/>
        <w:rPr>
          <w:rFonts w:ascii="Calibri" w:hAnsi="Calibri" w:cs="Times New Roman"/>
          <w:b/>
          <w:bCs/>
          <w:i/>
          <w:iCs/>
        </w:rPr>
      </w:pPr>
      <w:r w:rsidRPr="006C3049">
        <w:rPr>
          <w:rFonts w:ascii="Calibri" w:hAnsi="Calibri" w:cs="Times New Roman"/>
          <w:b/>
          <w:bCs/>
          <w:i/>
          <w:iCs/>
        </w:rPr>
        <w:t>FASE 0: Organización interna institucional</w:t>
      </w:r>
    </w:p>
    <w:p w:rsidR="00AA0FF0" w:rsidRPr="006C3049" w:rsidRDefault="00AA0FF0" w:rsidP="001365B9">
      <w:pPr>
        <w:jc w:val="both"/>
        <w:rPr>
          <w:rFonts w:ascii="Calibri" w:hAnsi="Calibri" w:cs="Times New Roman"/>
          <w:b/>
          <w:bCs/>
          <w:i/>
          <w:iCs/>
        </w:rPr>
      </w:pPr>
    </w:p>
    <w:p w:rsidR="001365B9" w:rsidRPr="006C3049" w:rsidRDefault="001365B9" w:rsidP="00AA0FF0">
      <w:pPr>
        <w:pStyle w:val="Textbody"/>
        <w:spacing w:after="0"/>
        <w:jc w:val="both"/>
        <w:rPr>
          <w:rFonts w:ascii="Calibri" w:hAnsi="Calibri"/>
          <w:b/>
          <w:lang w:val="es-ES"/>
        </w:rPr>
      </w:pPr>
      <w:r w:rsidRPr="006C3049">
        <w:rPr>
          <w:rFonts w:ascii="Calibri" w:hAnsi="Calibri"/>
        </w:rPr>
        <w:t>El Gerente General de EMAPAPC-EP, Ing. Com.</w:t>
      </w:r>
      <w:r w:rsidRPr="006C3049">
        <w:rPr>
          <w:rFonts w:ascii="Calibri" w:hAnsi="Calibri" w:cs="Calibri"/>
        </w:rPr>
        <w:t xml:space="preserve"> David Chang Murillo, mediante </w:t>
      </w:r>
      <w:r w:rsidRPr="006C3049">
        <w:rPr>
          <w:rFonts w:ascii="Calibri" w:hAnsi="Calibri" w:cs="Calibri"/>
          <w:bCs/>
        </w:rPr>
        <w:t xml:space="preserve">Memorando </w:t>
      </w:r>
      <w:r w:rsidRPr="006C3049">
        <w:rPr>
          <w:rFonts w:ascii="Calibri" w:hAnsi="Calibri"/>
          <w:b/>
          <w:lang w:val="es-ES"/>
        </w:rPr>
        <w:t>Memorando Nº:  EMAPAPC-EP–2015-011-A de fecha 12 de Febrero</w:t>
      </w:r>
    </w:p>
    <w:p w:rsidR="001365B9" w:rsidRPr="006C3049" w:rsidRDefault="001365B9" w:rsidP="00AA0FF0">
      <w:pPr>
        <w:jc w:val="both"/>
        <w:rPr>
          <w:rFonts w:ascii="Calibri" w:hAnsi="Calibri" w:cs="Calibri"/>
          <w:bCs/>
        </w:rPr>
      </w:pPr>
      <w:r w:rsidRPr="006C3049">
        <w:rPr>
          <w:rFonts w:ascii="Calibri" w:hAnsi="Calibri" w:cs="Calibri"/>
          <w:bCs/>
        </w:rPr>
        <w:t>designa el equipo de Rendición de Cuentas conformado por:</w:t>
      </w:r>
    </w:p>
    <w:p w:rsidR="001365B9" w:rsidRPr="006C3049" w:rsidRDefault="001365B9" w:rsidP="00AA0F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C3049">
        <w:rPr>
          <w:i/>
          <w:sz w:val="24"/>
          <w:szCs w:val="24"/>
        </w:rPr>
        <w:t>Ing. Com. Gabriela Martínez</w:t>
      </w:r>
    </w:p>
    <w:p w:rsidR="001365B9" w:rsidRPr="006C3049" w:rsidRDefault="001365B9" w:rsidP="00AA0FF0">
      <w:pPr>
        <w:ind w:firstLine="708"/>
        <w:jc w:val="both"/>
        <w:rPr>
          <w:rFonts w:ascii="Calibri" w:hAnsi="Calibri" w:cs="Times New Roman"/>
          <w:b/>
          <w:bCs/>
          <w:i/>
        </w:rPr>
      </w:pPr>
      <w:r w:rsidRPr="006C3049">
        <w:rPr>
          <w:rFonts w:ascii="Calibri" w:hAnsi="Calibri" w:cs="Times New Roman"/>
          <w:b/>
          <w:bCs/>
          <w:i/>
        </w:rPr>
        <w:t xml:space="preserve">Coordinadora Administrativa Financiera </w:t>
      </w:r>
    </w:p>
    <w:p w:rsidR="001365B9" w:rsidRPr="006C3049" w:rsidRDefault="001365B9" w:rsidP="00AA0FF0">
      <w:pPr>
        <w:pStyle w:val="Prrafodelista"/>
        <w:numPr>
          <w:ilvl w:val="0"/>
          <w:numId w:val="12"/>
        </w:numPr>
        <w:jc w:val="both"/>
        <w:rPr>
          <w:bCs/>
          <w:i/>
          <w:sz w:val="24"/>
          <w:szCs w:val="24"/>
        </w:rPr>
      </w:pPr>
      <w:r w:rsidRPr="006C3049">
        <w:rPr>
          <w:bCs/>
          <w:i/>
          <w:sz w:val="24"/>
          <w:szCs w:val="24"/>
        </w:rPr>
        <w:t>Sra. Dennessy Plúas</w:t>
      </w:r>
    </w:p>
    <w:p w:rsidR="001365B9" w:rsidRPr="006C3049" w:rsidRDefault="001365B9" w:rsidP="00AA0FF0">
      <w:pPr>
        <w:pStyle w:val="Prrafodelista"/>
        <w:jc w:val="both"/>
        <w:rPr>
          <w:b/>
          <w:bCs/>
          <w:i/>
          <w:sz w:val="24"/>
          <w:szCs w:val="24"/>
        </w:rPr>
      </w:pPr>
      <w:r w:rsidRPr="006C3049">
        <w:rPr>
          <w:b/>
          <w:bCs/>
          <w:i/>
          <w:sz w:val="24"/>
          <w:szCs w:val="24"/>
        </w:rPr>
        <w:t>Coordinadora de Sistemas y  Redes Informáticas</w:t>
      </w:r>
    </w:p>
    <w:p w:rsidR="001365B9" w:rsidRPr="006C3049" w:rsidRDefault="001365B9" w:rsidP="00AA0FF0">
      <w:pPr>
        <w:pStyle w:val="Default"/>
        <w:jc w:val="both"/>
      </w:pPr>
    </w:p>
    <w:p w:rsidR="001365B9" w:rsidRPr="006C3049" w:rsidRDefault="001365B9" w:rsidP="001365B9">
      <w:pPr>
        <w:pStyle w:val="Default"/>
        <w:jc w:val="both"/>
        <w:rPr>
          <w:rFonts w:cs="Times New Roman"/>
          <w:b/>
          <w:i/>
          <w:color w:val="auto"/>
        </w:rPr>
      </w:pPr>
      <w:r w:rsidRPr="006C3049">
        <w:rPr>
          <w:rFonts w:cs="Times New Roman"/>
          <w:b/>
          <w:i/>
          <w:color w:val="auto"/>
        </w:rPr>
        <w:t>ACTIVIDADES</w:t>
      </w:r>
    </w:p>
    <w:p w:rsidR="00AA0FF0" w:rsidRPr="006C3049" w:rsidRDefault="00AA0FF0" w:rsidP="001365B9">
      <w:pPr>
        <w:pStyle w:val="Default"/>
        <w:jc w:val="both"/>
        <w:rPr>
          <w:rFonts w:cs="Times New Roman"/>
          <w:b/>
          <w:i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>A continuación se detallan las actividades para la implementación del proceso de rendición de cuentas para la planificación de los eventos y de esta manera gestionar la organización de este proceso: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numPr>
          <w:ilvl w:val="0"/>
          <w:numId w:val="8"/>
        </w:numPr>
        <w:jc w:val="both"/>
      </w:pPr>
      <w:r w:rsidRPr="006C3049">
        <w:t>Levantamiento de Información.</w:t>
      </w:r>
    </w:p>
    <w:p w:rsidR="001365B9" w:rsidRPr="006C3049" w:rsidRDefault="001365B9" w:rsidP="001365B9">
      <w:pPr>
        <w:pStyle w:val="Default"/>
        <w:numPr>
          <w:ilvl w:val="0"/>
          <w:numId w:val="8"/>
        </w:numPr>
        <w:jc w:val="both"/>
      </w:pPr>
      <w:r w:rsidRPr="006C3049">
        <w:t>Elaboración de Listados de invitación.</w:t>
      </w:r>
    </w:p>
    <w:p w:rsidR="001365B9" w:rsidRPr="006C3049" w:rsidRDefault="001365B9" w:rsidP="001365B9">
      <w:pPr>
        <w:pStyle w:val="Default"/>
        <w:ind w:left="720"/>
        <w:jc w:val="both"/>
      </w:pPr>
    </w:p>
    <w:p w:rsidR="001365B9" w:rsidRPr="006C3049" w:rsidRDefault="001365B9" w:rsidP="001365B9">
      <w:pPr>
        <w:pStyle w:val="Default"/>
        <w:jc w:val="both"/>
      </w:pP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  <w:r w:rsidRPr="006C3049">
        <w:rPr>
          <w:rFonts w:cs="Times New Roman"/>
          <w:b/>
          <w:bCs/>
          <w:i/>
          <w:iCs/>
          <w:color w:val="auto"/>
        </w:rPr>
        <w:t>FASE 1: Elaboración del Informe de Rendición de Cuentas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 xml:space="preserve">El equipo que lidera el proceso de rendición de cuentas desarrolló diversas herramientas para levantar y consolidar la información que servirán para la evaluación de la gestión institucional. </w:t>
      </w: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 xml:space="preserve">En base a las matrices del formulario de Rendición de Cuentas que servirá de guía para la recopilación de la información. </w:t>
      </w: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  <w:r w:rsidRPr="006C3049">
        <w:rPr>
          <w:rFonts w:ascii="Calibri" w:hAnsi="Calibri" w:cs="Times New Roman"/>
        </w:rPr>
        <w:t>La elaboración del Informe de Rendición de Cuentas debe cumplir con las siguientes actividades:</w:t>
      </w:r>
    </w:p>
    <w:p w:rsidR="001365B9" w:rsidRPr="006C3049" w:rsidRDefault="001365B9" w:rsidP="001365B9">
      <w:pPr>
        <w:autoSpaceDE w:val="0"/>
        <w:adjustRightInd w:val="0"/>
        <w:jc w:val="both"/>
        <w:rPr>
          <w:rFonts w:ascii="Calibri" w:hAnsi="Calibri" w:cs="Times New Roman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b/>
          <w:i/>
          <w:color w:val="auto"/>
        </w:rPr>
      </w:pPr>
      <w:r w:rsidRPr="006C3049">
        <w:rPr>
          <w:rFonts w:cs="Times New Roman"/>
          <w:b/>
          <w:i/>
          <w:color w:val="auto"/>
        </w:rPr>
        <w:t>ACTIVIDADES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</w:p>
    <w:p w:rsidR="001365B9" w:rsidRPr="006C3049" w:rsidRDefault="001365B9" w:rsidP="001365B9">
      <w:pPr>
        <w:pStyle w:val="Default"/>
        <w:numPr>
          <w:ilvl w:val="0"/>
          <w:numId w:val="9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Evaluación de la gestión institucional</w:t>
      </w:r>
      <w:r w:rsidRPr="006C3049">
        <w:rPr>
          <w:rFonts w:cs="Times New Roman"/>
          <w:bCs/>
          <w:iCs/>
          <w:color w:val="auto"/>
        </w:rPr>
        <w:tab/>
      </w:r>
      <w:r w:rsidRPr="006C3049">
        <w:rPr>
          <w:rFonts w:cs="Times New Roman"/>
          <w:bCs/>
          <w:iCs/>
          <w:color w:val="auto"/>
        </w:rPr>
        <w:tab/>
      </w:r>
    </w:p>
    <w:p w:rsidR="001365B9" w:rsidRPr="006C3049" w:rsidRDefault="001365B9" w:rsidP="001365B9">
      <w:pPr>
        <w:pStyle w:val="Default"/>
        <w:numPr>
          <w:ilvl w:val="0"/>
          <w:numId w:val="9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Llenar el Formulario de Informe de rendición de cuentas establecido por el CPCCS.</w:t>
      </w:r>
    </w:p>
    <w:p w:rsidR="001365B9" w:rsidRPr="006C3049" w:rsidRDefault="001365B9" w:rsidP="001365B9">
      <w:pPr>
        <w:pStyle w:val="Default"/>
        <w:numPr>
          <w:ilvl w:val="0"/>
          <w:numId w:val="9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lastRenderedPageBreak/>
        <w:t xml:space="preserve">Redacción del Informe de rendición de cuentas </w:t>
      </w:r>
    </w:p>
    <w:p w:rsidR="001365B9" w:rsidRPr="006C3049" w:rsidRDefault="001365B9" w:rsidP="001365B9">
      <w:pPr>
        <w:pStyle w:val="Default"/>
        <w:numPr>
          <w:ilvl w:val="0"/>
          <w:numId w:val="9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Socialización interna y aprobación del informe de rendición de cuentas por parte de los responsables.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  <w:r w:rsidRPr="006C3049">
        <w:rPr>
          <w:rFonts w:cs="Times New Roman"/>
          <w:b/>
          <w:bCs/>
          <w:i/>
          <w:iCs/>
          <w:color w:val="auto"/>
        </w:rPr>
        <w:t xml:space="preserve"> 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  <w:r w:rsidRPr="006C3049">
        <w:rPr>
          <w:rFonts w:cs="Times New Roman"/>
          <w:b/>
          <w:bCs/>
          <w:i/>
          <w:iCs/>
          <w:color w:val="auto"/>
        </w:rPr>
        <w:t>FASE 2: Presentación a la ciudadanía del Informe de Rendición de Cuentas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>El equipo de Rendición de Cuentas de la EMAPAPC-EP, encabezado por la Coordinación Administrativa Financiera, elaboró una guía con las directrices a seguir: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>Dentro de la elaboración del Informe de Rendición de Cuentas es importante considerar las siguientes actividades: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numPr>
          <w:ilvl w:val="0"/>
          <w:numId w:val="10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Difusión del Informe de rendición de cuentas por distintos medios.</w:t>
      </w:r>
    </w:p>
    <w:p w:rsidR="001365B9" w:rsidRPr="006C3049" w:rsidRDefault="001365B9" w:rsidP="001365B9">
      <w:pPr>
        <w:pStyle w:val="Default"/>
        <w:numPr>
          <w:ilvl w:val="0"/>
          <w:numId w:val="10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Realización del evento de rendición de cuentas.</w:t>
      </w:r>
    </w:p>
    <w:p w:rsidR="001365B9" w:rsidRPr="006C3049" w:rsidRDefault="001365B9" w:rsidP="001365B9">
      <w:pPr>
        <w:pStyle w:val="Default"/>
        <w:numPr>
          <w:ilvl w:val="0"/>
          <w:numId w:val="10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Establecer el lugar y fecha a realizarse la rendición de cuentas ante la ciudadanía.</w:t>
      </w:r>
    </w:p>
    <w:p w:rsidR="001365B9" w:rsidRPr="006C3049" w:rsidRDefault="001365B9" w:rsidP="001365B9">
      <w:pPr>
        <w:pStyle w:val="Default"/>
        <w:numPr>
          <w:ilvl w:val="0"/>
          <w:numId w:val="10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Incorporación de los aportes ciudadanos en el Informe de rendición de cuentas.</w:t>
      </w:r>
    </w:p>
    <w:p w:rsidR="001365B9" w:rsidRPr="006C3049" w:rsidRDefault="001365B9" w:rsidP="001365B9">
      <w:pPr>
        <w:pStyle w:val="Default"/>
      </w:pP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  <w:r w:rsidRPr="006C3049">
        <w:rPr>
          <w:rFonts w:cs="Times New Roman"/>
          <w:b/>
          <w:bCs/>
          <w:i/>
          <w:iCs/>
          <w:color w:val="auto"/>
        </w:rPr>
        <w:t>FASE 3: Entrega del Informe de Rendición de Cuentas al Consejo de Participación Ciudadana y Control Social</w:t>
      </w:r>
    </w:p>
    <w:p w:rsidR="001365B9" w:rsidRPr="006C3049" w:rsidRDefault="001365B9" w:rsidP="001365B9">
      <w:pPr>
        <w:pStyle w:val="Default"/>
        <w:jc w:val="both"/>
        <w:rPr>
          <w:rFonts w:cs="Times New Roman"/>
          <w:b/>
          <w:bCs/>
          <w:i/>
          <w:iCs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 xml:space="preserve">La EMAPAPC-EP, una vez concluidas las fases iniciales deberán presentar (subir a la página web) el formulario correspondiente a la gestión institucional 2014 en el sistema del CPCCS. 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  <w:r w:rsidRPr="006C3049">
        <w:rPr>
          <w:rFonts w:cs="Times New Roman"/>
          <w:color w:val="auto"/>
        </w:rPr>
        <w:t>A continuación se detallan las actividades a realizarse:</w:t>
      </w:r>
    </w:p>
    <w:p w:rsidR="001365B9" w:rsidRPr="006C3049" w:rsidRDefault="001365B9" w:rsidP="001365B9">
      <w:pPr>
        <w:pStyle w:val="Default"/>
        <w:jc w:val="both"/>
        <w:rPr>
          <w:rFonts w:cs="Times New Roman"/>
          <w:color w:val="auto"/>
        </w:rPr>
      </w:pPr>
    </w:p>
    <w:p w:rsidR="001365B9" w:rsidRPr="006C3049" w:rsidRDefault="001365B9" w:rsidP="001365B9">
      <w:pPr>
        <w:pStyle w:val="Default"/>
        <w:jc w:val="both"/>
        <w:rPr>
          <w:rFonts w:cs="Times New Roman"/>
          <w:b/>
          <w:i/>
          <w:color w:val="auto"/>
        </w:rPr>
      </w:pPr>
      <w:r w:rsidRPr="006C3049">
        <w:rPr>
          <w:rFonts w:cs="Times New Roman"/>
          <w:b/>
          <w:i/>
          <w:color w:val="auto"/>
        </w:rPr>
        <w:t>ACTIVIDADES</w:t>
      </w:r>
    </w:p>
    <w:p w:rsidR="001365B9" w:rsidRPr="006C3049" w:rsidRDefault="001365B9" w:rsidP="001365B9">
      <w:pPr>
        <w:pStyle w:val="Default"/>
        <w:jc w:val="both"/>
        <w:rPr>
          <w:rFonts w:cs="Times New Roman"/>
          <w:i/>
          <w:color w:val="auto"/>
        </w:rPr>
      </w:pPr>
    </w:p>
    <w:p w:rsidR="001365B9" w:rsidRPr="006C3049" w:rsidRDefault="001365B9" w:rsidP="001365B9">
      <w:pPr>
        <w:pStyle w:val="Default"/>
        <w:numPr>
          <w:ilvl w:val="0"/>
          <w:numId w:val="11"/>
        </w:numPr>
        <w:jc w:val="both"/>
        <w:rPr>
          <w:rFonts w:cs="Times New Roman"/>
          <w:bCs/>
          <w:iCs/>
          <w:color w:val="auto"/>
        </w:rPr>
      </w:pPr>
      <w:r w:rsidRPr="006C3049">
        <w:rPr>
          <w:rFonts w:cs="Times New Roman"/>
          <w:bCs/>
          <w:iCs/>
          <w:color w:val="auto"/>
        </w:rPr>
        <w:t>Entrega del informe de rendición de cuentas al CPCCS, por medio del ingreso en el sistema virtual.</w:t>
      </w:r>
    </w:p>
    <w:p w:rsidR="001365B9" w:rsidRPr="006C3049" w:rsidRDefault="001365B9" w:rsidP="001365B9">
      <w:pPr>
        <w:pStyle w:val="Default"/>
        <w:ind w:left="720"/>
        <w:jc w:val="both"/>
        <w:rPr>
          <w:rFonts w:cs="Times New Roman"/>
          <w:bCs/>
          <w:iCs/>
          <w:color w:val="auto"/>
        </w:rPr>
      </w:pPr>
    </w:p>
    <w:p w:rsidR="001365B9" w:rsidRPr="006C3049" w:rsidRDefault="001365B9" w:rsidP="001365B9">
      <w:pPr>
        <w:pStyle w:val="Default"/>
        <w:ind w:left="720"/>
        <w:jc w:val="both"/>
        <w:rPr>
          <w:rFonts w:cs="Times New Roman"/>
          <w:bCs/>
          <w:iCs/>
          <w:color w:val="auto"/>
        </w:rPr>
      </w:pPr>
    </w:p>
    <w:p w:rsidR="001365B9" w:rsidRPr="006C3049" w:rsidRDefault="001365B9" w:rsidP="001365B9">
      <w:pPr>
        <w:pStyle w:val="Default"/>
        <w:ind w:left="720"/>
        <w:jc w:val="both"/>
        <w:rPr>
          <w:rFonts w:cs="Times New Roman"/>
          <w:bCs/>
          <w:iCs/>
          <w:color w:val="auto"/>
        </w:rPr>
      </w:pPr>
    </w:p>
    <w:p w:rsidR="00357F14" w:rsidRPr="006C3049" w:rsidRDefault="00357F14" w:rsidP="00A432EB">
      <w:pPr>
        <w:jc w:val="both"/>
        <w:rPr>
          <w:rFonts w:ascii="Calibri" w:hAnsi="Calibri"/>
        </w:rPr>
      </w:pPr>
    </w:p>
    <w:sectPr w:rsidR="00357F14" w:rsidRPr="006C3049" w:rsidSect="000823FA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D5" w:rsidRDefault="007173D5">
      <w:r>
        <w:separator/>
      </w:r>
    </w:p>
  </w:endnote>
  <w:endnote w:type="continuationSeparator" w:id="1">
    <w:p w:rsidR="007173D5" w:rsidRDefault="0071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FA" w:rsidRPr="00272657" w:rsidRDefault="000823FA" w:rsidP="000823FA">
    <w:pPr>
      <w:pStyle w:val="Standard"/>
      <w:jc w:val="center"/>
      <w:rPr>
        <w:rFonts w:ascii="Cambria" w:hAnsi="Cambria"/>
        <w:sz w:val="18"/>
        <w:szCs w:val="20"/>
      </w:rPr>
    </w:pPr>
    <w:r w:rsidRPr="00272657">
      <w:rPr>
        <w:rFonts w:ascii="Cambria" w:hAnsi="Cambria"/>
        <w:sz w:val="18"/>
        <w:szCs w:val="20"/>
      </w:rPr>
      <w:t>Av. 9 de octubre entre 24 de Mayo y Leopoldo Gordon</w:t>
    </w:r>
  </w:p>
  <w:p w:rsidR="000823FA" w:rsidRPr="00272657" w:rsidRDefault="000823FA" w:rsidP="000823FA">
    <w:pPr>
      <w:pStyle w:val="Standard"/>
      <w:jc w:val="center"/>
      <w:rPr>
        <w:rFonts w:ascii="Cambria" w:hAnsi="Cambria"/>
        <w:sz w:val="18"/>
        <w:szCs w:val="20"/>
        <w:lang w:val="es-ES"/>
      </w:rPr>
    </w:pPr>
    <w:r w:rsidRPr="00272657">
      <w:rPr>
        <w:rFonts w:ascii="Cambria" w:hAnsi="Cambria"/>
        <w:sz w:val="18"/>
        <w:szCs w:val="20"/>
        <w:lang w:val="es-ES"/>
      </w:rPr>
      <w:t>Pedro Carbo - Guayas – Ecuador</w:t>
    </w:r>
  </w:p>
  <w:p w:rsidR="000823FA" w:rsidRPr="00272657" w:rsidRDefault="000823FA" w:rsidP="000823FA">
    <w:pPr>
      <w:pStyle w:val="Standard"/>
      <w:jc w:val="center"/>
      <w:rPr>
        <w:rFonts w:ascii="Cambria" w:hAnsi="Cambria"/>
        <w:sz w:val="22"/>
      </w:rPr>
    </w:pPr>
    <w:r w:rsidRPr="00272657">
      <w:rPr>
        <w:rFonts w:ascii="Cambria" w:hAnsi="Cambria"/>
        <w:sz w:val="18"/>
        <w:szCs w:val="20"/>
        <w:lang w:val="es-ES"/>
      </w:rPr>
      <w:t>042-704092</w:t>
    </w:r>
  </w:p>
  <w:p w:rsidR="000823FA" w:rsidRPr="00272657" w:rsidRDefault="000823FA" w:rsidP="000823FA">
    <w:pPr>
      <w:pStyle w:val="Encabezado"/>
      <w:jc w:val="center"/>
      <w:rPr>
        <w:sz w:val="20"/>
      </w:rPr>
    </w:pPr>
    <w:r w:rsidRPr="00272657">
      <w:rPr>
        <w:rFonts w:ascii="Cambria" w:hAnsi="Cambria"/>
        <w:sz w:val="18"/>
        <w:szCs w:val="20"/>
      </w:rPr>
      <w:t>emapapc_ep@hotmail.com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D5" w:rsidRDefault="007173D5">
      <w:r>
        <w:separator/>
      </w:r>
    </w:p>
  </w:footnote>
  <w:footnote w:type="continuationSeparator" w:id="1">
    <w:p w:rsidR="007173D5" w:rsidRDefault="0071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FA" w:rsidRDefault="000E1024">
    <w:pPr>
      <w:pStyle w:val="Encabezado"/>
    </w:pPr>
    <w:r>
      <w:rPr>
        <w:noProof/>
        <w:lang w:val="es-EC" w:eastAsia="es-EC"/>
      </w:rPr>
      <w:drawing>
        <wp:inline distT="0" distB="0" distL="0" distR="0">
          <wp:extent cx="5401569" cy="959485"/>
          <wp:effectExtent l="6091" t="0" r="0" b="0"/>
          <wp:docPr id="1" name="Objet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207375" cy="1296987"/>
                    <a:chOff x="468313" y="115888"/>
                    <a:chExt cx="8207375" cy="1296987"/>
                  </a:xfrm>
                </a:grpSpPr>
                <a:grpSp>
                  <a:nvGrpSpPr>
                    <a:cNvPr id="2051" name="7 Grupo"/>
                    <a:cNvGrpSpPr>
                      <a:grpSpLocks/>
                    </a:cNvGrpSpPr>
                  </a:nvGrpSpPr>
                  <a:grpSpPr bwMode="auto">
                    <a:xfrm>
                      <a:off x="468313" y="115888"/>
                      <a:ext cx="8207375" cy="1296987"/>
                      <a:chOff x="467544" y="115888"/>
                      <a:chExt cx="8208144" cy="1296987"/>
                    </a:xfrm>
                  </a:grpSpPr>
                  <a:pic>
                    <a:nvPicPr>
                      <a:cNvPr id="205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115888"/>
                        <a:ext cx="8207375" cy="1296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Imagen 3" descr="D:\Mis imágenes\logo-empresa.jp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 rot="1580883">
                        <a:off x="7547736" y="216455"/>
                        <a:ext cx="1083875" cy="1008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63500"/>
                      </a:effectLst>
                    </a:spPr>
                  </a:pic>
                  <a:sp>
                    <a:nvSpPr>
                      <a:cNvPr id="2" name="5 Rectángulo"/>
                      <a:cNvSpPr>
                        <a:spLocks noChangeArrowheads="1"/>
                      </a:cNvSpPr>
                    </a:nvSpPr>
                    <a:spPr bwMode="auto">
                      <a:xfrm>
                        <a:off x="1763065" y="115888"/>
                        <a:ext cx="5617101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dirty="0">
                              <a:solidFill>
                                <a:srgbClr val="002060"/>
                              </a:solidFill>
                              <a:latin typeface="Cooper Black" pitchFamily="18" charset="0"/>
                            </a:rPr>
                            <a:t>Empresa Municipal de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dirty="0">
                              <a:solidFill>
                                <a:srgbClr val="002060"/>
                              </a:solidFill>
                              <a:latin typeface="Cooper Black" pitchFamily="18" charset="0"/>
                            </a:rPr>
                            <a:t>Agua Potable y Alcantarillado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dirty="0" smtClean="0">
                              <a:solidFill>
                                <a:srgbClr val="002060"/>
                              </a:solidFill>
                              <a:latin typeface="Cooper Black" pitchFamily="18" charset="0"/>
                            </a:rPr>
                            <a:t>de </a:t>
                          </a:r>
                          <a:r>
                            <a:rPr lang="es-ES" dirty="0">
                              <a:solidFill>
                                <a:srgbClr val="002060"/>
                              </a:solidFill>
                              <a:latin typeface="Cooper Black" pitchFamily="18" charset="0"/>
                            </a:rPr>
                            <a:t>Pedro Carbo - Empresa Pública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C" sz="1000" dirty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         Registro oficial 230 -  Julio 7 del 2010</a:t>
                          </a:r>
                          <a:r>
                            <a:rPr lang="es-EC" dirty="0"/>
                            <a:t>	</a:t>
                          </a:r>
                          <a:endParaRPr lang="es-ES" dirty="0">
                            <a:solidFill>
                              <a:srgbClr val="002060"/>
                            </a:solidFill>
                            <a:latin typeface="Cooper Black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6386" name="Imagen 2"/>
                      <a:cNvPicPr>
                        <a:picLocks noChangeAspect="1" noChangeArrowheads="1"/>
                      </a:cNvPicPr>
                    </a:nvPicPr>
                    <a:blipFill>
                      <a:blip r:embed="rId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7544" y="188640"/>
                        <a:ext cx="1109495" cy="108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63500"/>
                      </a:effectLst>
                    </a:spPr>
                  </a:pic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1E5"/>
    <w:multiLevelType w:val="hybridMultilevel"/>
    <w:tmpl w:val="4CB083C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850"/>
    <w:multiLevelType w:val="hybridMultilevel"/>
    <w:tmpl w:val="91AA937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0197"/>
    <w:multiLevelType w:val="hybridMultilevel"/>
    <w:tmpl w:val="76540B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24DC5"/>
    <w:multiLevelType w:val="hybridMultilevel"/>
    <w:tmpl w:val="6CF6B2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23E5"/>
    <w:multiLevelType w:val="hybridMultilevel"/>
    <w:tmpl w:val="2F66B774"/>
    <w:lvl w:ilvl="0" w:tplc="03D208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74E7D"/>
    <w:multiLevelType w:val="hybridMultilevel"/>
    <w:tmpl w:val="A274B8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0568E"/>
    <w:multiLevelType w:val="hybridMultilevel"/>
    <w:tmpl w:val="B26448F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7D7"/>
    <w:multiLevelType w:val="hybridMultilevel"/>
    <w:tmpl w:val="FEC0D6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584A"/>
    <w:multiLevelType w:val="hybridMultilevel"/>
    <w:tmpl w:val="F73200C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B6343"/>
    <w:multiLevelType w:val="hybridMultilevel"/>
    <w:tmpl w:val="A9E2E7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508F7"/>
    <w:multiLevelType w:val="hybridMultilevel"/>
    <w:tmpl w:val="425639D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D616A"/>
    <w:multiLevelType w:val="hybridMultilevel"/>
    <w:tmpl w:val="B0A8A1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FA"/>
    <w:rsid w:val="00006719"/>
    <w:rsid w:val="00010D88"/>
    <w:rsid w:val="0001343A"/>
    <w:rsid w:val="000658EB"/>
    <w:rsid w:val="000823FA"/>
    <w:rsid w:val="000D6B2D"/>
    <w:rsid w:val="000E1024"/>
    <w:rsid w:val="000F5855"/>
    <w:rsid w:val="001044FF"/>
    <w:rsid w:val="001365B9"/>
    <w:rsid w:val="0016212F"/>
    <w:rsid w:val="00163536"/>
    <w:rsid w:val="001D0490"/>
    <w:rsid w:val="001D5444"/>
    <w:rsid w:val="001E7323"/>
    <w:rsid w:val="002464C0"/>
    <w:rsid w:val="00247E43"/>
    <w:rsid w:val="0026303F"/>
    <w:rsid w:val="002B5B4C"/>
    <w:rsid w:val="002B6AF7"/>
    <w:rsid w:val="002E78E1"/>
    <w:rsid w:val="002F7969"/>
    <w:rsid w:val="00325A68"/>
    <w:rsid w:val="00357F14"/>
    <w:rsid w:val="00363BD2"/>
    <w:rsid w:val="00375936"/>
    <w:rsid w:val="003A1793"/>
    <w:rsid w:val="003B2203"/>
    <w:rsid w:val="003D07DA"/>
    <w:rsid w:val="004079E4"/>
    <w:rsid w:val="004176E1"/>
    <w:rsid w:val="004515A7"/>
    <w:rsid w:val="00453BC7"/>
    <w:rsid w:val="00456905"/>
    <w:rsid w:val="004D5003"/>
    <w:rsid w:val="004D695C"/>
    <w:rsid w:val="004F3916"/>
    <w:rsid w:val="0050455F"/>
    <w:rsid w:val="00546740"/>
    <w:rsid w:val="00562F2B"/>
    <w:rsid w:val="005B1827"/>
    <w:rsid w:val="005B31B0"/>
    <w:rsid w:val="005E12DE"/>
    <w:rsid w:val="005F47E4"/>
    <w:rsid w:val="006244F5"/>
    <w:rsid w:val="0063667D"/>
    <w:rsid w:val="00682C11"/>
    <w:rsid w:val="006C3049"/>
    <w:rsid w:val="006D2EA4"/>
    <w:rsid w:val="007173D5"/>
    <w:rsid w:val="0075603E"/>
    <w:rsid w:val="0076483E"/>
    <w:rsid w:val="00765B72"/>
    <w:rsid w:val="007759B3"/>
    <w:rsid w:val="007A057F"/>
    <w:rsid w:val="007A2658"/>
    <w:rsid w:val="007C3692"/>
    <w:rsid w:val="007D1040"/>
    <w:rsid w:val="007E7ACD"/>
    <w:rsid w:val="008628EF"/>
    <w:rsid w:val="008B6CA9"/>
    <w:rsid w:val="008F4287"/>
    <w:rsid w:val="00955403"/>
    <w:rsid w:val="0098145A"/>
    <w:rsid w:val="00981B5C"/>
    <w:rsid w:val="009E2D63"/>
    <w:rsid w:val="009E581C"/>
    <w:rsid w:val="00A13FBE"/>
    <w:rsid w:val="00A432EB"/>
    <w:rsid w:val="00A77CD6"/>
    <w:rsid w:val="00A83CF6"/>
    <w:rsid w:val="00AA026B"/>
    <w:rsid w:val="00AA0FF0"/>
    <w:rsid w:val="00AA6065"/>
    <w:rsid w:val="00AB2D76"/>
    <w:rsid w:val="00AB56F9"/>
    <w:rsid w:val="00B15629"/>
    <w:rsid w:val="00B21065"/>
    <w:rsid w:val="00B43E13"/>
    <w:rsid w:val="00B50D91"/>
    <w:rsid w:val="00B5340B"/>
    <w:rsid w:val="00B56373"/>
    <w:rsid w:val="00B82C33"/>
    <w:rsid w:val="00B96594"/>
    <w:rsid w:val="00BB520A"/>
    <w:rsid w:val="00BF6A71"/>
    <w:rsid w:val="00C53C44"/>
    <w:rsid w:val="00C678FF"/>
    <w:rsid w:val="00C72C91"/>
    <w:rsid w:val="00CC1BCD"/>
    <w:rsid w:val="00CC7778"/>
    <w:rsid w:val="00D022AF"/>
    <w:rsid w:val="00D54C8C"/>
    <w:rsid w:val="00D74E48"/>
    <w:rsid w:val="00D9542E"/>
    <w:rsid w:val="00DC2799"/>
    <w:rsid w:val="00DE174C"/>
    <w:rsid w:val="00E00DF9"/>
    <w:rsid w:val="00E140ED"/>
    <w:rsid w:val="00EA1CDC"/>
    <w:rsid w:val="00EC38AD"/>
    <w:rsid w:val="00EC7A89"/>
    <w:rsid w:val="00ED4F44"/>
    <w:rsid w:val="00EE1EDD"/>
    <w:rsid w:val="00EF4CB6"/>
    <w:rsid w:val="00F02C06"/>
    <w:rsid w:val="00F303C7"/>
    <w:rsid w:val="00F313DB"/>
    <w:rsid w:val="00FB68C0"/>
    <w:rsid w:val="00FD2D5F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3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3FA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823FA"/>
  </w:style>
  <w:style w:type="paragraph" w:customStyle="1" w:styleId="Standard">
    <w:name w:val="Standard"/>
    <w:rsid w:val="000823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0823FA"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3FA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823FA"/>
    <w:rPr>
      <w:rFonts w:ascii="Tahoma" w:eastAsia="SimSun" w:hAnsi="Tahoma" w:cs="Mangal"/>
      <w:kern w:val="3"/>
      <w:sz w:val="16"/>
      <w:szCs w:val="14"/>
      <w:lang w:val="es-EC" w:eastAsia="zh-CN" w:bidi="hi-IN"/>
    </w:rPr>
  </w:style>
  <w:style w:type="paragraph" w:customStyle="1" w:styleId="Default">
    <w:name w:val="Default"/>
    <w:rsid w:val="00136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365B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dnis</dc:creator>
  <cp:lastModifiedBy>Lenovo</cp:lastModifiedBy>
  <cp:revision>2</cp:revision>
  <dcterms:created xsi:type="dcterms:W3CDTF">2016-03-23T00:18:00Z</dcterms:created>
  <dcterms:modified xsi:type="dcterms:W3CDTF">2016-03-23T00:18:00Z</dcterms:modified>
</cp:coreProperties>
</file>